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государственного служащего</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государственного служащего»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«Профессиональная этика государственного служащего».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государственного служащего»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нормы служебной этики в своей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нормы служебной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в профессиональной сфере норм служебной этики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«Профессиональная этика государственного служащего»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муниципальное управление в сфере гражданской обороны и чрезвычайных ситуаций</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04.383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профессиональной этики. Речевой этикет.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Кодекс профессиональной этики и нормативно правовые акты, регулирующие профессиональную деятельность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и правила служебного поведения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Служебная дисциплина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государственных гражданских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Урегулирование конфликта интересов и разрешение служебных споров.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44.3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профессиональной этики. Речевой этикет.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этика это?</w:t>
            </w:r>
          </w:p>
          <w:p>
            <w:pPr>
              <w:jc w:val="both"/>
              <w:spacing w:after="0" w:line="240" w:lineRule="auto"/>
              <w:rPr>
                <w:sz w:val="24"/>
                <w:szCs w:val="24"/>
              </w:rPr>
            </w:pPr>
            <w:r>
              <w:rPr>
                <w:rFonts w:ascii="Times New Roman" w:hAnsi="Times New Roman" w:cs="Times New Roman"/>
                <w:color w:val="#000000"/>
                <w:sz w:val="24"/>
                <w:szCs w:val="24"/>
              </w:rPr>
              <w:t> Виды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Принципы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Служебная этика это?</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и становления профессиональной морали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Кодекс профессиональной этики и нормативно правовые акты, регулирующие профессиональную деятельность государственного гражданского служащего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Кодекс чести</w:t>
            </w:r>
          </w:p>
          <w:p>
            <w:pPr>
              <w:jc w:val="both"/>
              <w:spacing w:after="0" w:line="240" w:lineRule="auto"/>
              <w:rPr>
                <w:sz w:val="24"/>
                <w:szCs w:val="24"/>
              </w:rPr>
            </w:pPr>
            <w:r>
              <w:rPr>
                <w:rFonts w:ascii="Times New Roman" w:hAnsi="Times New Roman" w:cs="Times New Roman"/>
                <w:color w:val="#000000"/>
                <w:sz w:val="24"/>
                <w:szCs w:val="24"/>
              </w:rPr>
              <w:t> Кодекс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Федеральный закон от 23.05.2016 N 141-ФЗ (ред. от 01.04.2022) и т.д.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и правила служебного поведения государственного гражданского служащего.</w:t>
            </w:r>
          </w:p>
        </w:tc>
      </w:tr>
      <w:tr>
        <w:trPr>
          <w:trHeight w:hRule="exact" w:val="929.6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при осуществлении служебной деятельности</w:t>
            </w:r>
          </w:p>
          <w:p>
            <w:pPr>
              <w:jc w:val="both"/>
              <w:spacing w:after="0" w:line="240" w:lineRule="auto"/>
              <w:rPr>
                <w:sz w:val="24"/>
                <w:szCs w:val="24"/>
              </w:rPr>
            </w:pPr>
            <w:r>
              <w:rPr>
                <w:rFonts w:ascii="Times New Roman" w:hAnsi="Times New Roman" w:cs="Times New Roman"/>
                <w:color w:val="#000000"/>
                <w:sz w:val="24"/>
                <w:szCs w:val="24"/>
              </w:rPr>
              <w:t> Основные принципы служебного поведения государственного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Основные правила служебного поведения государственного гражданского служащего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Профессионально-нравственные качества государственного гражданского служащего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Служебная дисциплина государственного гражданского служащего.</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служебному поведению и дисциплине</w:t>
            </w:r>
          </w:p>
          <w:p>
            <w:pPr>
              <w:jc w:val="both"/>
              <w:spacing w:after="0" w:line="240" w:lineRule="auto"/>
              <w:rPr>
                <w:sz w:val="24"/>
                <w:szCs w:val="24"/>
              </w:rPr>
            </w:pPr>
            <w:r>
              <w:rPr>
                <w:rFonts w:ascii="Times New Roman" w:hAnsi="Times New Roman" w:cs="Times New Roman"/>
                <w:color w:val="#000000"/>
                <w:sz w:val="24"/>
                <w:szCs w:val="24"/>
              </w:rPr>
              <w:t> Ограничения, запреты и обязанности к служебному поведению и дисциплине</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служебного поведения и дисциплины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государственных гражданских служащих.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Форменная одежда</w:t>
            </w:r>
          </w:p>
          <w:p>
            <w:pPr>
              <w:jc w:val="both"/>
              <w:spacing w:after="0" w:line="240" w:lineRule="auto"/>
              <w:rPr>
                <w:sz w:val="24"/>
                <w:szCs w:val="24"/>
              </w:rPr>
            </w:pPr>
            <w:r>
              <w:rPr>
                <w:rFonts w:ascii="Times New Roman" w:hAnsi="Times New Roman" w:cs="Times New Roman"/>
                <w:color w:val="#000000"/>
                <w:sz w:val="24"/>
                <w:szCs w:val="24"/>
              </w:rPr>
              <w:t> Правила ношения формы одежды гражданских служащих</w:t>
            </w:r>
          </w:p>
          <w:p>
            <w:pPr>
              <w:jc w:val="both"/>
              <w:spacing w:after="0" w:line="240" w:lineRule="auto"/>
              <w:rPr>
                <w:sz w:val="24"/>
                <w:szCs w:val="24"/>
              </w:rPr>
            </w:pPr>
            <w:r>
              <w:rPr>
                <w:rFonts w:ascii="Times New Roman" w:hAnsi="Times New Roman" w:cs="Times New Roman"/>
                <w:color w:val="#000000"/>
                <w:sz w:val="24"/>
                <w:szCs w:val="24"/>
              </w:rPr>
              <w:t> Основные особенности ношения формы одежды гражданских служащих</w:t>
            </w:r>
          </w:p>
          <w:p>
            <w:pPr>
              <w:jc w:val="both"/>
              <w:spacing w:after="0" w:line="240" w:lineRule="auto"/>
              <w:rPr>
                <w:sz w:val="24"/>
                <w:szCs w:val="24"/>
              </w:rPr>
            </w:pPr>
            <w:r>
              <w:rPr>
                <w:rFonts w:ascii="Times New Roman" w:hAnsi="Times New Roman" w:cs="Times New Roman"/>
                <w:color w:val="#000000"/>
                <w:sz w:val="24"/>
                <w:szCs w:val="24"/>
              </w:rPr>
              <w:t> Правила при ношении погон и знаков различия</w:t>
            </w:r>
          </w:p>
          <w:p>
            <w:pPr>
              <w:jc w:val="both"/>
              <w:spacing w:after="0" w:line="240" w:lineRule="auto"/>
              <w:rPr>
                <w:sz w:val="24"/>
                <w:szCs w:val="24"/>
              </w:rPr>
            </w:pPr>
            <w:r>
              <w:rPr>
                <w:rFonts w:ascii="Times New Roman" w:hAnsi="Times New Roman" w:cs="Times New Roman"/>
                <w:color w:val="#000000"/>
                <w:sz w:val="24"/>
                <w:szCs w:val="24"/>
              </w:rPr>
              <w:t> Правила ношения ведомственных знаков отличия и иных геральдических знаков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Урегулирование конфликта интересов и разрешение служебных споров.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интересов</w:t>
            </w:r>
          </w:p>
          <w:p>
            <w:pPr>
              <w:jc w:val="both"/>
              <w:spacing w:after="0" w:line="240" w:lineRule="auto"/>
              <w:rPr>
                <w:sz w:val="24"/>
                <w:szCs w:val="24"/>
              </w:rPr>
            </w:pPr>
            <w:r>
              <w:rPr>
                <w:rFonts w:ascii="Times New Roman" w:hAnsi="Times New Roman" w:cs="Times New Roman"/>
                <w:color w:val="#000000"/>
                <w:sz w:val="24"/>
                <w:szCs w:val="24"/>
              </w:rPr>
              <w:t> Меры по предотвращению и урегулированию конфликта интересов</w:t>
            </w:r>
          </w:p>
          <w:p>
            <w:pPr>
              <w:jc w:val="both"/>
              <w:spacing w:after="0" w:line="240" w:lineRule="auto"/>
              <w:rPr>
                <w:sz w:val="24"/>
                <w:szCs w:val="24"/>
              </w:rPr>
            </w:pPr>
            <w:r>
              <w:rPr>
                <w:rFonts w:ascii="Times New Roman" w:hAnsi="Times New Roman" w:cs="Times New Roman"/>
                <w:color w:val="#000000"/>
                <w:sz w:val="24"/>
                <w:szCs w:val="24"/>
              </w:rPr>
              <w:t> Порядок предотвращения и урегулирования конфликта</w:t>
            </w:r>
          </w:p>
          <w:p>
            <w:pPr>
              <w:jc w:val="both"/>
              <w:spacing w:after="0" w:line="240" w:lineRule="auto"/>
              <w:rPr>
                <w:sz w:val="24"/>
                <w:szCs w:val="24"/>
              </w:rPr>
            </w:pPr>
            <w:r>
              <w:rPr>
                <w:rFonts w:ascii="Times New Roman" w:hAnsi="Times New Roman" w:cs="Times New Roman"/>
                <w:color w:val="#000000"/>
                <w:sz w:val="24"/>
                <w:szCs w:val="24"/>
              </w:rPr>
              <w:t> Служебный спор</w:t>
            </w:r>
          </w:p>
          <w:p>
            <w:pPr>
              <w:jc w:val="both"/>
              <w:spacing w:after="0" w:line="240" w:lineRule="auto"/>
              <w:rPr>
                <w:sz w:val="24"/>
                <w:szCs w:val="24"/>
              </w:rPr>
            </w:pPr>
            <w:r>
              <w:rPr>
                <w:rFonts w:ascii="Times New Roman" w:hAnsi="Times New Roman" w:cs="Times New Roman"/>
                <w:color w:val="#000000"/>
                <w:sz w:val="24"/>
                <w:szCs w:val="24"/>
              </w:rPr>
              <w:t> Коллективные служебные споры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государственного служащего»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https://urait.ru/bcode/474061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https://urait.ru/bcode/468934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https://urait.ru/bcode/468416</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978-5-534-03936-8.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https://urait.ru/bcode/469707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05.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2024-2025_ФГОС3++2024_Бак-ЗФО-ГМУ(ПБЧС)(24)_plx_Профессиональная этика государственного служащего</dc:title>
  <dc:creator>FastReport.NET</dc:creator>
</cp:coreProperties>
</file>